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Einwilligung in die Videoaufzeichnung von Spielen und deren Auswertung</w:t>
      </w:r>
    </w:p>
    <w:p>
      <w:r>
        <w:rPr>
          <w:b/>
        </w:rPr>
        <w:t>Entwurf – vor der Verwendung anwaltlich prüfen lassen.</w:t>
      </w:r>
      <w:r>
        <w:t xml:space="preserve"> Platzhalter in eckigen Klammern sind vom Verein auszufüllen. Muster von VidiCoach, Fassung vom 26. September 2026.</w:t>
      </w:r>
    </w:p>
    <w:p>
      <w:pPr>
        <w:pBdr>
          <w:bottom w:val="single" w:sz="6" w:space="4" w:color="AAAAAA"/>
        </w:pBdr>
      </w:pPr>
    </w:p>
    <w:p>
      <w:r>
        <w:rPr>
          <w:b/>
        </w:rPr>
        <w:t>Verantwortlich für die Verarbeitung:</w:t>
      </w:r>
      <w:r>
        <w:t xml:space="preserve"> [Name des Vereins], [Straße, PLZ Ort] Vertreten durch: [Name], E-Mail: [datenschutz@verein.de]</w:t>
      </w:r>
    </w:p>
    <w:p>
      <w:r>
        <w:rPr>
          <w:b/>
        </w:rPr>
        <w:t>Betroffenes Kind / betroffene:r Jugendliche:r:</w:t>
      </w:r>
    </w:p>
    <w:p>
      <w:r>
        <w:t>Name: ______________________________   geboren am: __________________</w:t>
      </w:r>
    </w:p>
    <w:p>
      <w:r>
        <w:t>Mannschaft: _________________________</w:t>
      </w:r>
    </w:p>
    <w:p>
      <w:pPr>
        <w:pBdr>
          <w:bottom w:val="single" w:sz="6" w:space="4" w:color="AAAAAA"/>
        </w:pBdr>
      </w:pPr>
    </w:p>
    <w:p>
      <w:pPr>
        <w:pStyle w:val="Heading2"/>
      </w:pPr>
      <w:r>
        <w:t>1. Worum es geht</w:t>
      </w:r>
    </w:p>
    <w:p>
      <w:r>
        <w:t>Der Verein zeichnet Spiele der oben genannten Mannschaft mit einer Kamera auf, etwa einer fest aufgestellten, automatisch schwenkenden Kamera. Aufgenommen wird das Spielfeld, in Bild und Ton. Die Aufnahmen dienen der sportlichen Auswertung: Der Trainerstab markiert einzelne Szenen, versieht sie mit Notizen und Zeichnungen und bespricht sie anschließend mit der Mannschaft.</w:t>
      </w:r>
    </w:p>
    <w:p>
      <w:r>
        <w:t xml:space="preserve">Für die Auswertung setzt der Verein die Software </w:t>
      </w:r>
      <w:r>
        <w:rPr>
          <w:b/>
        </w:rPr>
        <w:t>VidiCoach</w:t>
      </w:r>
      <w:r>
        <w:t xml:space="preserve"> ein. Die Aufnahmen werden dafür bei einem Auftragsverarbeiter des Vereins gespeichert (siehe Abschnitt 5). Während des Spiels kann der Trainerstab Szenen zusätzlich am Handy mit Uhrzeit markieren; sie werden später der Aufnahme zugeordnet.</w:t>
      </w:r>
    </w:p>
    <w:p>
      <w:r>
        <w:rPr>
          <w:b/>
        </w:rPr>
        <w:t>Spielerverfolgung:</w:t>
      </w:r>
      <w:r>
        <w:t xml:space="preserve"> Tippt ein Trainer in einer Szene auf einen Spieler, kann die Software diesem Spieler bis zum Ende der Szene folgen und ihn im Bild einkreisen. Dafür erkennt sie auf dem Rechner des Trainers die Personen im Bild als Umrisse. Es findet </w:t>
      </w:r>
      <w:r>
        <w:rPr>
          <w:b/>
        </w:rPr>
        <w:t>keine Gesichtserkennung</w:t>
      </w:r>
      <w:r>
        <w:t xml:space="preserve"> statt, </w:t>
      </w:r>
      <w:r>
        <w:rPr>
          <w:b/>
        </w:rPr>
        <w:t>keine Trikotnummern-Erkennung</w:t>
      </w:r>
      <w:r>
        <w:t xml:space="preserve"> und keine Zuordnung zu einem Namen. Gespeichert wird nur der Weg des eingekreisten Spielers durch das Bild. Welche Szenen markiert werden und was dazu notiert wird, entscheidet ausschließlich der Trainerstab.</w:t>
      </w:r>
    </w:p>
    <w:p>
      <w:pPr>
        <w:pStyle w:val="Heading2"/>
      </w:pPr>
      <w:r>
        <w:t>2. Welche Daten verarbeitet werden</w:t>
      </w:r>
    </w:p>
    <w:p>
      <w:pPr>
        <w:pStyle w:val="ListBullet"/>
      </w:pPr>
      <w:r>
        <w:t>Bild- und Tonaufnahmen des gesamten Spiels, auf denen das Kind erkennbar ist</w:t>
      </w:r>
    </w:p>
    <w:p>
      <w:pPr>
        <w:pStyle w:val="ListBullet"/>
      </w:pPr>
      <w:r>
        <w:t>Aus den Aufnahmen erstellte Standbilder, Zeichnungen und Zusammenschnitte einzelner Szenen</w:t>
      </w:r>
    </w:p>
    <w:p>
      <w:pPr>
        <w:pStyle w:val="ListBullet"/>
      </w:pPr>
      <w:r>
        <w:t>der Weg eines vom Trainer eingekreisten Spielers durch das Bild (Spielerverfolgung, siehe oben)</w:t>
      </w:r>
    </w:p>
    <w:p>
      <w:pPr>
        <w:pStyle w:val="ListBullet"/>
      </w:pPr>
      <w:r>
        <w:t>Notizen und Bewertungen des Trainerstabs zu einzelnen Spielsituationen, auch am Spielfeldrand am Handy erfasst; diese können den Namen oder die Rückennummer des Kindes enthalten</w:t>
      </w:r>
    </w:p>
    <w:p>
      <w:pPr>
        <w:pStyle w:val="ListBullet"/>
      </w:pPr>
      <w:r>
        <w:t>Datum, Gegner und Ergebnis des Spiels</w:t>
      </w:r>
    </w:p>
    <w:p>
      <w:pPr>
        <w:pStyle w:val="Heading2"/>
      </w:pPr>
      <w:r>
        <w:t>3. Ihre Einwilligung</w:t>
      </w:r>
    </w:p>
    <w:p>
      <w:r>
        <w:t xml:space="preserve">Sie willigen mit Ihrer Unterschrift in die folgenden Verwendungen ein. Sie gelten </w:t>
      </w:r>
      <w:r>
        <w:rPr>
          <w:b/>
        </w:rPr>
        <w:t>gemeinsam</w:t>
      </w:r>
      <w:r>
        <w:t xml:space="preserve"> – eine Zustimmung zu einzelnen Punkten ist nicht vorgesehen.</w:t>
      </w:r>
    </w:p>
    <w:p>
      <w:r>
        <w:rPr>
          <w:b/>
        </w:rPr>
        <w:t>a) Aufzeichnung und interne Auswertung.</w:t>
      </w:r>
      <w:r>
        <w:t xml:space="preserve"> Das Spiel wird aufgezeichnet und vom Trainerstab der Mannschaft ausgewertet.</w:t>
      </w:r>
    </w:p>
    <w:p>
      <w:r>
        <w:rPr>
          <w:b/>
        </w:rPr>
        <w:t>b) Besprechung mit der Mannschaft.</w:t>
      </w:r>
      <w:r>
        <w:t xml:space="preserve"> Ausgewählte Szenen werden der Mannschaft im Rahmen einer Spielbesprechung gezeigt.</w:t>
      </w:r>
    </w:p>
    <w:p>
      <w:r>
        <w:rPr>
          <w:b/>
        </w:rPr>
        <w:t>c) Einzelgespräch.</w:t>
      </w:r>
      <w:r>
        <w:t xml:space="preserve"> Szenen, die das Kind betreffen, werden im Gespräch mit dem Kind und Ihnen gezeigt.</w:t>
      </w:r>
    </w:p>
    <w:p>
      <w:r>
        <w:rPr>
          <w:b/>
        </w:rPr>
        <w:t>d) Link für Spieler und Eltern der Mannschaft.</w:t>
      </w:r>
      <w:r>
        <w:t xml:space="preserve"> Der Trainerstab kann ein aufgezeichnetes Spiel über einen Link zum Ansehen an die Spieler und Eltern der Mannschaft geben. Der Link öffnet das Spiel im Browser, ohne Anmeldung.</w:t>
      </w:r>
    </w:p>
    <w:p>
      <w:r>
        <w:rPr>
          <w:b/>
        </w:rPr>
        <w:t>e) Weitergabe an den gegnerischen Verein.</w:t>
      </w:r>
      <w:r>
        <w:t xml:space="preserve"> Die Aufnahme des Spiels wird dem Trainerstab der gegnerischen Mannschaft auf demselben Weg zur Verfügung gestellt, damit dieser sein eigenes Spiel auswerten kann. Für eine gemeinsame Auswertung kann ein einzelner externer Trainer zusätzlich Zugang zu den Szenen und Notizen dieses Spiels erhalten. Der Empfänger ist ein anderer Verein und für seinen weiteren Umgang mit der Aufnahme selbst verantwortlich.</w:t>
      </w:r>
    </w:p>
    <w:p>
      <w:r>
        <w:t xml:space="preserve">Für d) und e) gilt: </w:t>
      </w:r>
      <w:r>
        <w:rPr>
          <w:b/>
        </w:rPr>
        <w:t>Ein Link kann weitergeleitet werden.</w:t>
      </w:r>
      <w:r>
        <w:t xml:space="preserve"> Wer ihn hat, kann das Spiel ansehen und mit VidiCoach herunterladen. Der Verein kann jeden Link jederzeit sperren; er läuft außerdem nach [Frist, z. B. 28 Tagen] von selbst ab. Eine bereits heruntergeladene Kopie lässt sich damit nicht zurückholen.</w:t>
      </w:r>
    </w:p>
    <w:p>
      <w:r>
        <w:rPr>
          <w:b/>
        </w:rPr>
        <w:t>f) Veröffentlichung von Zusammenschnitten.</w:t>
      </w:r>
      <w:r>
        <w:t xml:space="preserve"> Kurze Zusammenschnitte (z. B. Torszenen) werden auf folgenden Kanälen des Vereins veröffentlicht: [Vereinswebsite / Instagram / … bitte konkret benennen]. Eine Veröffentlichung im Internet lässt sich praktisch nicht zurückholen.</w:t>
      </w:r>
    </w:p>
    <w:p>
      <w:pPr>
        <w:pStyle w:val="IntenseQuote"/>
      </w:pPr>
      <w:r>
        <w:rPr>
          <w:b/>
        </w:rPr>
        <w:t>Hinweis für den Verein:</w:t>
      </w:r>
      <w:r>
        <w:t xml:space="preserve"> Punkte, die ihr nicht nutzt, ersatzlos streichen – vor allem f), wenn nichts veröffentlicht wird. f) ist der Punkt, an dem eine gemeinsame Einwilligung am ehesten angegriffen wird; wer ohnehin nichts veröffentlicht, nimmt dieses Risiko unnötig mit. Die Frist unter d) und e) muss zu der Einstellung passen, die ihr in VidiCoach unter „Aufbewahrung“ gewählt habt.</w:t>
      </w:r>
    </w:p>
    <w:p>
      <w:pPr>
        <w:pStyle w:val="Heading2"/>
      </w:pPr>
      <w:r>
        <w:t>4. Freiwilligkeit</w:t>
      </w:r>
    </w:p>
    <w:p>
      <w:r>
        <w:t xml:space="preserve">Diese Einwilligung ist </w:t>
      </w:r>
      <w:r>
        <w:rPr>
          <w:b/>
        </w:rPr>
        <w:t>freiwillig</w:t>
      </w:r>
      <w:r>
        <w:t xml:space="preserve">. Wenn Sie sie nicht erteilen, entstehen dem Kind </w:t>
      </w:r>
      <w:r>
        <w:rPr>
          <w:b/>
        </w:rPr>
        <w:t>keinerlei Nachteile</w:t>
      </w:r>
      <w:r>
        <w:t xml:space="preserve"> – insbesondere bleiben Trainingsteilnahme, Aufstellung und Spielzeit davon unberührt.</w:t>
      </w:r>
    </w:p>
    <w:p>
      <w:r>
        <w:t>Da die Kamera das gesamte Spielfeld aufnimmt, lässt sich ein einzelnes Kind technisch nicht aus der Aufnahme herausnehmen. Wird die Einwilligung nicht erteilt oder später widerrufen, verzichtet der Verein deshalb auf die Weitergabe per Link und die Veröffentlichung der betreffenden Aufnahmen (Punkte d bis f).</w:t>
      </w:r>
    </w:p>
    <w:p>
      <w:pPr>
        <w:pStyle w:val="Heading2"/>
      </w:pPr>
      <w:r>
        <w:t>5. Wer die Daten erhält</w:t>
      </w:r>
    </w:p>
    <w:p>
      <w:r>
        <w:t>Die Aufnahmen werden für den Verein durch folgenden Auftragsverarbeiter verarbeitet und gespeichert:</w:t>
      </w:r>
    </w:p>
    <w:p>
      <w:pPr>
        <w:pStyle w:val="IntenseQuote"/>
      </w:pPr>
      <w:r>
        <w:rPr>
          <w:b/>
        </w:rPr>
        <w:t>VidiCoach – Markus Stanczyk</w:t>
      </w:r>
      <w:r>
        <w:t>, Titiseeweg 10, 78083 Dauchingen Anbieter der Analyse-Software</w:t>
      </w:r>
    </w:p>
    <w:p>
      <w:r>
        <w:t>Mit ihm besteht ein Vertrag zur Auftragsverarbeitung nach Art. 28 DSGVO. Die Speicherung erfolgt auf Servern innerhalb der Europäischen Union. Als Unterauftragnehmer sind die Anbieter der genutzten Speicher- und Datenbankdienste eingebunden; eine aktuelle Liste stellt der Verein auf Anfrage zur Verfügung.</w:t>
      </w:r>
    </w:p>
    <w:p>
      <w:r>
        <w:t>Zugriff haben der Trainerstab der Mannschaft und die Vereinsverwaltung (Vereinsmanager) des Vereins; öffnet jemand außerhalb des Trainerstabs die Mannschaft, wird das vermerkt und dem Trainerstab angezeigt. Dazu kommen die Empfänger eines Links nach Punkt 3 d) und e).</w:t>
      </w:r>
    </w:p>
    <w:p>
      <w:pPr>
        <w:pStyle w:val="Heading2"/>
      </w:pPr>
      <w:r>
        <w:t>6. Wie lange gespeichert wird</w:t>
      </w:r>
    </w:p>
    <w:p>
      <w:r>
        <w:t xml:space="preserve">Die Aufnahmen werden </w:t>
      </w:r>
      <w:r>
        <w:rPr>
          <w:b/>
        </w:rPr>
        <w:t>[z. B. bis zum Ende der laufenden Spielzeit, längstens 12 Monate nach der Aufnahme]</w:t>
      </w:r>
      <w:r>
        <w:t xml:space="preserve"> gespeichert und danach gelöscht. Bei einem Widerruf werden sie unverzüglich gelöscht bzw. nicht weiter verwendet.</w:t>
      </w:r>
    </w:p>
    <w:p>
      <w:pPr>
        <w:pStyle w:val="Heading2"/>
      </w:pPr>
      <w:r>
        <w:t>7. Ihre Rechte</w:t>
      </w:r>
    </w:p>
    <w:p>
      <w:r>
        <w:t xml:space="preserve">Sie können diese Einwilligung </w:t>
      </w:r>
      <w:r>
        <w:rPr>
          <w:b/>
        </w:rPr>
        <w:t>jederzeit ohne Angabe von Gründen widerrufen</w:t>
      </w:r>
      <w:r>
        <w:t>, formlos an [datenschutz@verein.de]. Der Widerruf gilt für die Zukunft; die Rechtmäßigkeit der bis dahin erfolgten Verarbeitung bleibt unberührt.</w:t>
      </w:r>
    </w:p>
    <w:p>
      <w:r>
        <w:t>Ihnen stehen außerdem die Rechte auf Auskunft (Art. 15 DSGVO), Berichtigung (Art. 16), Löschung (Art. 17), Einschränkung (Art. 18), Datenübertragbarkeit (Art. 20) und Widerspruch (Art. 21) zu sowie das Recht auf Beschwerde bei einer Aufsichtsbehörde (Art. 77) – zuständig ist [Aufsichtsbehörde des Bundeslandes].</w:t>
      </w:r>
    </w:p>
    <w:p>
      <w:r>
        <w:t>Rechtsgrundlage der Verarbeitung ist Ihre Einwilligung, Art. 6 Abs. 1 lit. a DSGVO.</w:t>
      </w:r>
    </w:p>
    <w:p>
      <w:pPr>
        <w:pStyle w:val="Heading2"/>
      </w:pPr>
      <w:r>
        <w:t>8. Unterschriften</w:t>
      </w:r>
    </w:p>
    <w:p>
      <w:r>
        <w:t>Mit der Unterschrift willige ich / willigen wir in die unter 3. a) bis f) beschriebenen Verwendungen ein.</w:t>
      </w:r>
    </w:p>
    <w:p>
      <w:r>
        <w:t xml:space="preserve">Bei gemeinsamer elterlicher Sorge ist die Einwilligung </w:t>
      </w:r>
      <w:r>
        <w:rPr>
          <w:b/>
        </w:rPr>
        <w:t>beider</w:t>
      </w:r>
      <w:r>
        <w:t xml:space="preserve"> Sorgeberechtigter erforderlich. Unterschreibt nur eine Person, erklärt sie mit ihrer Unterschrift zugleich, im Einvernehmen mit dem anderen Sorgeberechtigten zu handeln.</w:t>
      </w:r>
    </w:p>
    <w:tbl>
      <w:tblPr>
        <w:tblW w:type="auto" w:w="0"/>
        <w:tblLayout w:type="autofit"/>
        <w:tblLook w:firstColumn="1" w:firstRow="1" w:lastColumn="0" w:lastRow="0" w:noHBand="0" w:noVBand="1" w:val="04A0"/>
      </w:tblPr>
      <w:tblGrid>
        <w:gridCol w:w="4703"/>
        <w:gridCol w:w="4703"/>
      </w:tblGrid>
      <w:tr>
        <w:tc>
          <w:tcPr>
            <w:tcW w:type="dxa" w:w="4703"/>
          </w:tcPr>
          <w:p>
            <w:r>
              <w:t>Ort, Datum</w:t>
            </w:r>
          </w:p>
        </w:tc>
        <w:tc>
          <w:tcPr>
            <w:tcW w:type="dxa" w:w="4703"/>
          </w:tcPr>
          <w:p>
            <w:r>
              <w:t>______________________________</w:t>
            </w:r>
          </w:p>
        </w:tc>
      </w:tr>
      <w:tr>
        <w:tc>
          <w:tcPr>
            <w:tcW w:type="dxa" w:w="4703"/>
          </w:tcPr>
          <w:p>
            <w:r>
              <w:t>Sorgeberechtigte:r 1 – Name in Druckbuchstaben</w:t>
            </w:r>
          </w:p>
        </w:tc>
        <w:tc>
          <w:tcPr>
            <w:tcW w:type="dxa" w:w="4703"/>
          </w:tcPr>
          <w:p>
            <w:r>
              <w:t>______________________________</w:t>
            </w:r>
          </w:p>
        </w:tc>
      </w:tr>
      <w:tr>
        <w:tc>
          <w:tcPr>
            <w:tcW w:type="dxa" w:w="4703"/>
          </w:tcPr>
          <w:p>
            <w:r>
              <w:t>Unterschrift</w:t>
            </w:r>
          </w:p>
        </w:tc>
        <w:tc>
          <w:tcPr>
            <w:tcW w:type="dxa" w:w="4703"/>
          </w:tcPr>
          <w:p>
            <w:r>
              <w:t>______________________________</w:t>
            </w:r>
          </w:p>
        </w:tc>
      </w:tr>
      <w:tr>
        <w:tc>
          <w:tcPr>
            <w:tcW w:type="dxa" w:w="4703"/>
          </w:tcPr>
          <w:p>
            <w:r>
              <w:t>Sorgeberechtigte:r 2 – Name in Druckbuchstaben</w:t>
            </w:r>
          </w:p>
        </w:tc>
        <w:tc>
          <w:tcPr>
            <w:tcW w:type="dxa" w:w="4703"/>
          </w:tcPr>
          <w:p>
            <w:r>
              <w:t>______________________________</w:t>
            </w:r>
          </w:p>
        </w:tc>
      </w:tr>
      <w:tr>
        <w:tc>
          <w:tcPr>
            <w:tcW w:type="dxa" w:w="4703"/>
          </w:tcPr>
          <w:p>
            <w:r>
              <w:t>Unterschrift</w:t>
            </w:r>
          </w:p>
        </w:tc>
        <w:tc>
          <w:tcPr>
            <w:tcW w:type="dxa" w:w="4703"/>
          </w:tcPr>
          <w:p>
            <w:r>
              <w:t>______________________________</w:t>
            </w:r>
          </w:p>
        </w:tc>
      </w:tr>
    </w:tbl>
    <w:p/>
    <w:p>
      <w:r>
        <w:rPr>
          <w:b/>
        </w:rPr>
        <w:t>Ab 14 Jahren zusätzlich:</w:t>
      </w:r>
    </w:p>
    <w:tbl>
      <w:tblPr>
        <w:tblW w:type="auto" w:w="0"/>
        <w:tblLayout w:type="autofit"/>
        <w:tblLook w:firstColumn="1" w:firstRow="1" w:lastColumn="0" w:lastRow="0" w:noHBand="0" w:noVBand="1" w:val="04A0"/>
      </w:tblPr>
      <w:tblGrid>
        <w:gridCol w:w="4703"/>
        <w:gridCol w:w="4703"/>
      </w:tblGrid>
      <w:tr>
        <w:tc>
          <w:tcPr>
            <w:tcW w:type="dxa" w:w="4703"/>
          </w:tcPr>
          <w:p>
            <w:r>
              <w:t>Ich bin einverstanden. – Name des Kindes</w:t>
            </w:r>
          </w:p>
        </w:tc>
        <w:tc>
          <w:tcPr>
            <w:tcW w:type="dxa" w:w="4703"/>
          </w:tcPr>
          <w:p>
            <w:r>
              <w:t>______________________________</w:t>
            </w:r>
          </w:p>
        </w:tc>
      </w:tr>
      <w:tr>
        <w:tc>
          <w:tcPr>
            <w:tcW w:type="dxa" w:w="4703"/>
          </w:tcPr>
          <w:p>
            <w:r>
              <w:t>Unterschrift</w:t>
            </w:r>
          </w:p>
        </w:tc>
        <w:tc>
          <w:tcPr>
            <w:tcW w:type="dxa" w:w="4703"/>
          </w:tcPr>
          <w:p>
            <w:r>
              <w:t>______________________________</w:t>
            </w:r>
          </w:p>
        </w:tc>
      </w:tr>
    </w:tbl>
    <w:p/>
    <w:p>
      <w:pPr>
        <w:pBdr>
          <w:bottom w:val="single" w:sz="6" w:space="4" w:color="AAAAAA"/>
        </w:pBdr>
      </w:pPr>
    </w:p>
    <w:p>
      <w:pPr>
        <w:pStyle w:val="Heading2"/>
      </w:pPr>
      <w:r>
        <w:t>Hinweis für den Verein: elektronische Erteilung</w:t>
      </w:r>
    </w:p>
    <w:p>
      <w:r>
        <w:t>Diese Einwilligung darf auch elektronisch eingeholt werden; eine handschriftliche Unterschrift ist nicht erforderlich (Erwägungsgrund 32 DSGVO). Der Verein muss die Einwilligung jedoch nachweisen können (Art. 7 Abs. 1 DSGVO). Bei elektronischer Erhebung sind daher zu protokollieren:</w:t>
      </w:r>
    </w:p>
    <w:p>
      <w:pPr>
        <w:pStyle w:val="ListNumber"/>
      </w:pPr>
      <w:r>
        <w:t>Zeitpunkt der Erteilung (Datum und Uhrzeit),</w:t>
      </w:r>
    </w:p>
    <w:p>
      <w:pPr>
        <w:pStyle w:val="ListNumber"/>
      </w:pPr>
      <w:r>
        <w:t>Name und E-Mail-Adresse der einwilligenden Person,</w:t>
      </w:r>
    </w:p>
    <w:p>
      <w:pPr>
        <w:pStyle w:val="ListNumber"/>
      </w:pPr>
      <w:r>
        <w:t xml:space="preserve">die </w:t>
      </w:r>
      <w:r>
        <w:rPr>
          <w:b/>
        </w:rPr>
        <w:t>exakte Textfassung</w:t>
      </w:r>
      <w:r>
        <w:t>, der zugestimmt wurde (Versionsnummer oder Kopie des Textes – nicht nur ein Verweis auf die jeweils aktuelle Fassung),</w:t>
      </w:r>
    </w:p>
    <w:p>
      <w:pPr>
        <w:pStyle w:val="ListNumber"/>
      </w:pPr>
      <w:r>
        <w:t>die Bestätigung über einen an die genannte Adresse versandten Link (Double-Opt-in).</w:t>
      </w:r>
    </w:p>
    <w:p>
      <w:r>
        <w:t xml:space="preserve">Weil die Punkte unter 3. gemeinsam gelten, muss die zustimmende Handlung elektronisch </w:t>
      </w:r>
      <w:r>
        <w:rPr>
          <w:b/>
        </w:rPr>
        <w:t>eine einzige</w:t>
      </w:r>
      <w:r>
        <w:t xml:space="preserve"> sein – kein vorausgefülltes Kästchen und keine Zustimmung, die sich aus dem bloßen Weiterklicken ergibt (Art. 4 Nr. 11 DSGVO verlangt eine eindeutige bestätigende Handlung).</w:t>
      </w:r>
    </w:p>
    <w:p>
      <w:r>
        <w:t>Der Widerruf muss so einfach möglich sein wie die Erteilung (Art. 7 Abs. 3 DSGVO) – ein Link in der Bestätigungsmail genügt dafür. Widerrufen wird dabei immer das ganze Paket; eine teilweise Rücknahme sieht diese Erklärung nicht vor.</w:t>
      </w:r>
    </w:p>
    <w:sectPr w:rsidR="00FC693F" w:rsidRPr="0006063C" w:rsidSect="00034616">
      <w:pgSz w:w="12240" w:h="15840"/>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